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8763EB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8763EB" w:rsidRPr="008763EB">
        <w:rPr>
          <w:rFonts w:ascii="Arial" w:hAnsi="Arial" w:cs="Arial"/>
          <w:bCs/>
          <w:sz w:val="18"/>
          <w:szCs w:val="18"/>
        </w:rPr>
        <w:t>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CCE618" w14:textId="77777777" w:rsidR="00635318" w:rsidRPr="00635318" w:rsidRDefault="00635318" w:rsidP="0063531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 do SWZ – wymagany wraz z ofertą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0F26D5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6A23920" w14:textId="44D1B0AF" w:rsidR="00635318" w:rsidRDefault="00635318" w:rsidP="00635318">
      <w:pPr>
        <w:spacing w:after="0" w:line="480" w:lineRule="auto"/>
        <w:ind w:left="424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Zał. nr 2 do SWZ – wymagany wraz z ofertą</w:t>
      </w:r>
    </w:p>
    <w:p w14:paraId="48767404" w14:textId="77777777" w:rsidR="00635318" w:rsidRDefault="00635318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6E6F6D8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279EE" w:rsidRPr="009279EE">
        <w:rPr>
          <w:rFonts w:ascii="Arial" w:hAnsi="Arial" w:cs="Arial"/>
          <w:sz w:val="21"/>
          <w:szCs w:val="21"/>
        </w:rPr>
        <w:t>„</w:t>
      </w:r>
      <w:r w:rsidR="00987DD5" w:rsidRPr="00987DD5">
        <w:rPr>
          <w:rFonts w:ascii="Arial" w:hAnsi="Arial" w:cs="Arial"/>
          <w:b/>
          <w:bCs/>
          <w:sz w:val="21"/>
          <w:szCs w:val="21"/>
        </w:rPr>
        <w:t>Budowa przyłączy kanalizacji sanitarnej w Rzegnowie, dz. 66 oraz Łubowie, dz. 97/1</w:t>
      </w:r>
      <w:r w:rsidR="00BA6C42">
        <w:rPr>
          <w:rFonts w:ascii="Arial" w:hAnsi="Arial" w:cs="Arial"/>
          <w:b/>
          <w:bCs/>
          <w:sz w:val="21"/>
          <w:szCs w:val="21"/>
        </w:rPr>
        <w:t xml:space="preserve"> (II)</w:t>
      </w:r>
      <w:bookmarkStart w:id="0" w:name="_GoBack"/>
      <w:bookmarkEnd w:id="0"/>
      <w:r w:rsidR="009279EE" w:rsidRPr="009279EE">
        <w:rPr>
          <w:rFonts w:ascii="Arial" w:hAnsi="Arial" w:cs="Arial"/>
          <w:sz w:val="21"/>
          <w:szCs w:val="21"/>
        </w:rPr>
        <w:t>”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279EE">
        <w:rPr>
          <w:rFonts w:ascii="Arial" w:hAnsi="Arial" w:cs="Arial"/>
          <w:sz w:val="21"/>
          <w:szCs w:val="21"/>
        </w:rPr>
        <w:t>Gminę Łubowo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EF24E" w14:textId="77777777" w:rsidR="00EE1276" w:rsidRDefault="00EE1276" w:rsidP="0038231F">
      <w:pPr>
        <w:spacing w:after="0" w:line="240" w:lineRule="auto"/>
      </w:pPr>
      <w:r>
        <w:separator/>
      </w:r>
    </w:p>
  </w:endnote>
  <w:endnote w:type="continuationSeparator" w:id="0">
    <w:p w14:paraId="3021A589" w14:textId="77777777" w:rsidR="00EE1276" w:rsidRDefault="00EE12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A55AB" w14:textId="77777777" w:rsidR="00EE1276" w:rsidRDefault="00EE1276" w:rsidP="0038231F">
      <w:pPr>
        <w:spacing w:after="0" w:line="240" w:lineRule="auto"/>
      </w:pPr>
      <w:r>
        <w:separator/>
      </w:r>
    </w:p>
  </w:footnote>
  <w:footnote w:type="continuationSeparator" w:id="0">
    <w:p w14:paraId="56B855D8" w14:textId="77777777" w:rsidR="00EE1276" w:rsidRDefault="00EE1276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453A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0FAC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219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4966"/>
    <w:rsid w:val="00633724"/>
    <w:rsid w:val="0063384A"/>
    <w:rsid w:val="00633E88"/>
    <w:rsid w:val="00634311"/>
    <w:rsid w:val="00635318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79EE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7DD5"/>
    <w:rsid w:val="009B2846"/>
    <w:rsid w:val="009C72ED"/>
    <w:rsid w:val="009C7756"/>
    <w:rsid w:val="009E1710"/>
    <w:rsid w:val="00A14B6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6C42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276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E9A2C-CCA8-4AC8-B13B-F94886FE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Tomy</cp:lastModifiedBy>
  <cp:revision>5</cp:revision>
  <cp:lastPrinted>2016-07-26T10:32:00Z</cp:lastPrinted>
  <dcterms:created xsi:type="dcterms:W3CDTF">2022-08-04T12:49:00Z</dcterms:created>
  <dcterms:modified xsi:type="dcterms:W3CDTF">2022-09-16T06:31:00Z</dcterms:modified>
</cp:coreProperties>
</file>